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C6" w14:textId="4738CFEF" w:rsidR="0040448A" w:rsidRDefault="0040448A" w:rsidP="00A6011E">
      <w:pPr>
        <w:jc w:val="center"/>
        <w:rPr>
          <w:rFonts w:ascii="Arial" w:hAnsi="Arial" w:cs="Arial"/>
          <w:b/>
          <w:bCs/>
          <w:iCs/>
          <w:sz w:val="26"/>
          <w:szCs w:val="26"/>
          <w:lang w:val="en-US"/>
        </w:rPr>
      </w:pPr>
      <w:r>
        <w:rPr>
          <w:rFonts w:ascii="Arial" w:hAnsi="Arial" w:cs="Arial"/>
          <w:b/>
          <w:bCs/>
          <w:iCs/>
          <w:sz w:val="26"/>
          <w:szCs w:val="26"/>
          <w:lang w:val="en-US"/>
        </w:rPr>
        <w:t>“Novel synthetic approaches for the development of functional 2</w:t>
      </w:r>
      <w:r w:rsidR="009F76AB">
        <w:rPr>
          <w:rFonts w:ascii="Arial" w:hAnsi="Arial" w:cs="Arial"/>
          <w:b/>
          <w:bCs/>
          <w:iCs/>
          <w:sz w:val="26"/>
          <w:szCs w:val="26"/>
          <w:lang w:val="en-US"/>
        </w:rPr>
        <w:t>D</w:t>
      </w:r>
      <w:r>
        <w:rPr>
          <w:rFonts w:ascii="Arial" w:hAnsi="Arial" w:cs="Arial"/>
          <w:b/>
          <w:bCs/>
          <w:iCs/>
          <w:sz w:val="26"/>
          <w:szCs w:val="26"/>
          <w:lang w:val="en-US"/>
        </w:rPr>
        <w:t xml:space="preserve"> hybrid materials for energy, environmental and biomedical applications”</w:t>
      </w:r>
    </w:p>
    <w:p w14:paraId="698DE142" w14:textId="77777777" w:rsidR="00F155AC" w:rsidRPr="0040448A" w:rsidRDefault="00F155AC" w:rsidP="00A6011E">
      <w:pPr>
        <w:jc w:val="center"/>
        <w:rPr>
          <w:rFonts w:ascii="Arial" w:hAnsi="Arial" w:cs="Arial"/>
          <w:b/>
          <w:bCs/>
          <w:iCs/>
          <w:sz w:val="26"/>
          <w:szCs w:val="26"/>
          <w:lang w:val="en-US"/>
        </w:rPr>
      </w:pPr>
    </w:p>
    <w:p w14:paraId="7EEB7925" w14:textId="175ACFDC" w:rsidR="00825E00" w:rsidRDefault="00D90834" w:rsidP="00D90834">
      <w:pPr>
        <w:jc w:val="center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Dimitrios Gournis</w:t>
      </w:r>
    </w:p>
    <w:p w14:paraId="11E4D782" w14:textId="14D48505" w:rsidR="00D90834" w:rsidRPr="00D90834" w:rsidRDefault="00D90834" w:rsidP="00D90834">
      <w:pPr>
        <w:jc w:val="center"/>
        <w:rPr>
          <w:rFonts w:ascii="Arial" w:hAnsi="Arial" w:cs="Arial"/>
          <w:i/>
          <w:lang w:val="en-US"/>
        </w:rPr>
      </w:pPr>
      <w:r w:rsidRPr="00D90834">
        <w:rPr>
          <w:rFonts w:ascii="Arial" w:hAnsi="Arial" w:cs="Arial"/>
          <w:i/>
          <w:lang w:val="en-US"/>
        </w:rPr>
        <w:t>Department of Materials Science and Engineering, University of Ioannina, 4511o Ioannina, Greece</w:t>
      </w:r>
    </w:p>
    <w:p w14:paraId="522ECE66" w14:textId="77777777" w:rsidR="00825E00" w:rsidRDefault="00825E00">
      <w:pPr>
        <w:rPr>
          <w:rFonts w:ascii="Arial" w:hAnsi="Arial" w:cs="Arial"/>
          <w:iCs/>
          <w:lang w:val="en-US"/>
        </w:rPr>
      </w:pPr>
    </w:p>
    <w:p w14:paraId="762D1D4B" w14:textId="45E3A4C2" w:rsidR="003670A9" w:rsidRDefault="00825E00" w:rsidP="00A6011E">
      <w:pPr>
        <w:jc w:val="both"/>
        <w:rPr>
          <w:rFonts w:ascii="Arial" w:hAnsi="Arial" w:cs="Arial"/>
          <w:lang w:val="en-GB"/>
        </w:rPr>
      </w:pPr>
      <w:r w:rsidRPr="00825E00">
        <w:rPr>
          <w:rFonts w:ascii="Arial" w:hAnsi="Arial" w:cs="Arial"/>
          <w:iCs/>
          <w:lang w:val="en-US"/>
        </w:rPr>
        <w:t xml:space="preserve">Much of the research effort on </w:t>
      </w:r>
      <w:r w:rsidR="009F76AB">
        <w:rPr>
          <w:rFonts w:ascii="Arial" w:hAnsi="Arial" w:cs="Arial"/>
          <w:iCs/>
          <w:lang w:val="en-US"/>
        </w:rPr>
        <w:t>2D materials</w:t>
      </w:r>
      <w:r w:rsidRPr="00825E00">
        <w:rPr>
          <w:rFonts w:ascii="Arial" w:hAnsi="Arial" w:cs="Arial"/>
          <w:iCs/>
          <w:lang w:val="en-US"/>
        </w:rPr>
        <w:t xml:space="preserve"> focuses on its use as building block for the development of novel hybrid structures with well-defined dimensions and behavior suitable for applications among else in gas storage, heterogeneous catalysis, gas/liquid separations, </w:t>
      </w:r>
      <w:proofErr w:type="spellStart"/>
      <w:r w:rsidRPr="00825E00">
        <w:rPr>
          <w:rFonts w:ascii="Arial" w:hAnsi="Arial" w:cs="Arial"/>
          <w:iCs/>
          <w:lang w:val="en-US"/>
        </w:rPr>
        <w:t>nanosensing</w:t>
      </w:r>
      <w:proofErr w:type="spellEnd"/>
      <w:r w:rsidRPr="00825E00">
        <w:rPr>
          <w:rFonts w:ascii="Arial" w:hAnsi="Arial" w:cs="Arial"/>
          <w:iCs/>
          <w:lang w:val="en-US"/>
        </w:rPr>
        <w:t xml:space="preserve"> and biology. Towards this aim, n</w:t>
      </w:r>
      <w:r w:rsidRPr="00825E00">
        <w:rPr>
          <w:rFonts w:ascii="Arial" w:hAnsi="Arial" w:cs="Arial"/>
          <w:lang w:val="en-US"/>
        </w:rPr>
        <w:t xml:space="preserve">ovel nanostructured </w:t>
      </w:r>
      <w:r w:rsidR="00CD2E98">
        <w:rPr>
          <w:rFonts w:ascii="Arial" w:hAnsi="Arial" w:cs="Arial"/>
          <w:lang w:val="en-US"/>
        </w:rPr>
        <w:t xml:space="preserve">pillared </w:t>
      </w:r>
      <w:r w:rsidRPr="009124A5">
        <w:rPr>
          <w:rFonts w:ascii="Arial" w:hAnsi="Arial" w:cs="Arial"/>
          <w:lang w:val="en-GB"/>
        </w:rPr>
        <w:t xml:space="preserve">materials based on </w:t>
      </w:r>
      <w:r w:rsidR="00F32610">
        <w:rPr>
          <w:rFonts w:ascii="Arial" w:hAnsi="Arial" w:cs="Arial"/>
          <w:lang w:val="en-GB"/>
        </w:rPr>
        <w:t>graphene-based matrices (graphene, graphene oxide and graphite nitrate)</w:t>
      </w:r>
      <w:r w:rsidR="00CD2E98">
        <w:rPr>
          <w:rFonts w:ascii="Arial" w:hAnsi="Arial" w:cs="Arial"/>
          <w:vertAlign w:val="superscript"/>
          <w:lang w:val="en-GB"/>
        </w:rPr>
        <w:t>1</w:t>
      </w:r>
      <w:r w:rsidR="00606F88" w:rsidRPr="00606F88">
        <w:rPr>
          <w:rFonts w:ascii="Arial" w:hAnsi="Arial" w:cs="Arial"/>
          <w:vertAlign w:val="superscript"/>
          <w:lang w:val="en-GB"/>
        </w:rPr>
        <w:t>-</w:t>
      </w:r>
      <w:r w:rsidR="00CD2E98">
        <w:rPr>
          <w:rFonts w:ascii="Arial" w:hAnsi="Arial" w:cs="Arial"/>
          <w:vertAlign w:val="superscript"/>
          <w:lang w:val="en-GB"/>
        </w:rPr>
        <w:t>9</w:t>
      </w:r>
      <w:r w:rsidR="00F32610">
        <w:rPr>
          <w:rFonts w:ascii="Arial" w:hAnsi="Arial" w:cs="Arial"/>
          <w:lang w:val="en-GB"/>
        </w:rPr>
        <w:t xml:space="preserve"> </w:t>
      </w:r>
      <w:r w:rsidR="00CD2E98">
        <w:rPr>
          <w:rFonts w:ascii="Arial" w:hAnsi="Arial" w:cs="Arial"/>
          <w:lang w:val="en-GB"/>
        </w:rPr>
        <w:t xml:space="preserve">and other 2D materials </w:t>
      </w:r>
      <w:r w:rsidR="00CD2E98">
        <w:rPr>
          <w:rFonts w:ascii="Arial" w:hAnsi="Arial" w:cs="Arial"/>
          <w:lang w:val="en-US"/>
        </w:rPr>
        <w:t xml:space="preserve">like </w:t>
      </w:r>
      <w:r w:rsidR="00CD2E98">
        <w:rPr>
          <w:rFonts w:ascii="Arial" w:hAnsi="Arial" w:cs="Arial"/>
          <w:lang w:val="en-GB"/>
        </w:rPr>
        <w:t>germanane (</w:t>
      </w:r>
      <w:proofErr w:type="spellStart"/>
      <w:r w:rsidR="00CD2E98">
        <w:rPr>
          <w:rFonts w:ascii="Arial" w:hAnsi="Arial" w:cs="Arial"/>
          <w:lang w:val="en-US"/>
        </w:rPr>
        <w:t>GeH</w:t>
      </w:r>
      <w:proofErr w:type="spellEnd"/>
      <w:r w:rsidR="00CD2E98">
        <w:rPr>
          <w:rFonts w:ascii="Arial" w:hAnsi="Arial" w:cs="Arial"/>
          <w:lang w:val="en-US"/>
        </w:rPr>
        <w:t>)</w:t>
      </w:r>
      <w:r w:rsidR="00CD2E98" w:rsidRPr="00606F88">
        <w:rPr>
          <w:rFonts w:ascii="Arial" w:hAnsi="Arial" w:cs="Arial"/>
          <w:vertAlign w:val="superscript"/>
          <w:lang w:val="en-US"/>
        </w:rPr>
        <w:t>1</w:t>
      </w:r>
      <w:r w:rsidR="00CD2E98">
        <w:rPr>
          <w:rFonts w:ascii="Arial" w:hAnsi="Arial" w:cs="Arial"/>
          <w:vertAlign w:val="superscript"/>
          <w:lang w:val="en-US"/>
        </w:rPr>
        <w:t>0</w:t>
      </w:r>
      <w:r w:rsidR="00CD2E98" w:rsidRPr="00606F88">
        <w:rPr>
          <w:rFonts w:ascii="Arial" w:hAnsi="Arial" w:cs="Arial"/>
          <w:vertAlign w:val="superscript"/>
          <w:lang w:val="en-US"/>
        </w:rPr>
        <w:t>-</w:t>
      </w:r>
      <w:r w:rsidR="00CD2E98">
        <w:rPr>
          <w:rFonts w:ascii="Arial" w:hAnsi="Arial" w:cs="Arial"/>
          <w:vertAlign w:val="superscript"/>
          <w:lang w:val="en-US"/>
        </w:rPr>
        <w:t>13</w:t>
      </w:r>
      <w:r w:rsidR="00CD2E98">
        <w:rPr>
          <w:rFonts w:ascii="Arial" w:hAnsi="Arial" w:cs="Arial"/>
          <w:lang w:val="en-GB"/>
        </w:rPr>
        <w:t xml:space="preserve"> </w:t>
      </w:r>
      <w:r w:rsidRPr="00825E00">
        <w:rPr>
          <w:rFonts w:ascii="Arial" w:hAnsi="Arial" w:cs="Arial"/>
          <w:lang w:val="en-US"/>
        </w:rPr>
        <w:t>with high surface area, tunable pore size and aromatic functionalities</w:t>
      </w:r>
      <w:r w:rsidRPr="009124A5">
        <w:rPr>
          <w:rFonts w:ascii="Arial" w:hAnsi="Arial" w:cs="Arial"/>
          <w:lang w:val="en-GB"/>
        </w:rPr>
        <w:t xml:space="preserve"> have been synthesized and studied b</w:t>
      </w:r>
      <w:proofErr w:type="spellStart"/>
      <w:r w:rsidRPr="00825E00">
        <w:rPr>
          <w:rFonts w:ascii="Arial" w:hAnsi="Arial" w:cs="Arial"/>
          <w:lang w:val="en-US"/>
        </w:rPr>
        <w:t>y</w:t>
      </w:r>
      <w:proofErr w:type="spellEnd"/>
      <w:r w:rsidRPr="00825E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using</w:t>
      </w:r>
      <w:r w:rsidRPr="00825E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GB"/>
        </w:rPr>
        <w:t>t</w:t>
      </w:r>
      <w:r w:rsidRPr="0030725E">
        <w:rPr>
          <w:rFonts w:ascii="Arial" w:hAnsi="Arial" w:cs="Arial"/>
          <w:lang w:val="en-GB"/>
        </w:rPr>
        <w:t xml:space="preserve">op-down (bulk synthesis) and bottom-up (by combining the Langmuir-Schaefer and the self-assembly techniques) synthetic approaches. </w:t>
      </w:r>
      <w:r>
        <w:rPr>
          <w:rFonts w:ascii="Arial" w:hAnsi="Arial" w:cs="Arial"/>
          <w:lang w:val="en-US"/>
        </w:rPr>
        <w:t>Hybrid materials</w:t>
      </w:r>
      <w:r w:rsidRPr="00825E00">
        <w:rPr>
          <w:rFonts w:ascii="Arial" w:hAnsi="Arial" w:cs="Arial"/>
          <w:lang w:val="en-US"/>
        </w:rPr>
        <w:t xml:space="preserve"> were characterized by a combination of </w:t>
      </w:r>
      <w:r w:rsidR="003377B1">
        <w:rPr>
          <w:rFonts w:ascii="Arial" w:hAnsi="Arial" w:cs="Arial"/>
          <w:lang w:val="en-US"/>
        </w:rPr>
        <w:t>analytical techniques</w:t>
      </w:r>
      <w:r w:rsidRPr="00825E00">
        <w:rPr>
          <w:rFonts w:ascii="Arial" w:hAnsi="Arial" w:cs="Arial"/>
          <w:lang w:val="en-US"/>
        </w:rPr>
        <w:t xml:space="preserve">. Representative case studies addressing cutting edge processes of great importance </w:t>
      </w:r>
      <w:r w:rsidRPr="0030725E">
        <w:rPr>
          <w:rFonts w:ascii="Arial" w:hAnsi="Arial" w:cs="Arial"/>
          <w:lang w:val="en-GB"/>
        </w:rPr>
        <w:t xml:space="preserve">such as the use of these hybrid nanostructures as </w:t>
      </w:r>
      <w:r w:rsidR="003377B1">
        <w:rPr>
          <w:rFonts w:ascii="Arial" w:hAnsi="Arial" w:cs="Arial"/>
          <w:lang w:val="en-GB"/>
        </w:rPr>
        <w:t xml:space="preserve">catalysts, </w:t>
      </w:r>
      <w:r w:rsidR="009F76AB">
        <w:rPr>
          <w:rFonts w:ascii="Arial" w:hAnsi="Arial" w:cs="Arial"/>
          <w:lang w:val="en-GB"/>
        </w:rPr>
        <w:t xml:space="preserve">phase change materials, </w:t>
      </w:r>
      <w:r w:rsidRPr="0030725E">
        <w:rPr>
          <w:rFonts w:ascii="Arial" w:hAnsi="Arial" w:cs="Arial"/>
          <w:lang w:val="en-GB"/>
        </w:rPr>
        <w:t xml:space="preserve">cytotoxic agents, effective adsorbents for environmental remediation, conductive </w:t>
      </w:r>
      <w:proofErr w:type="gramStart"/>
      <w:r w:rsidRPr="0030725E">
        <w:rPr>
          <w:rFonts w:ascii="Arial" w:hAnsi="Arial" w:cs="Arial"/>
          <w:lang w:val="en-GB"/>
        </w:rPr>
        <w:t>inks</w:t>
      </w:r>
      <w:proofErr w:type="gramEnd"/>
      <w:r w:rsidRPr="0030725E">
        <w:rPr>
          <w:rFonts w:ascii="Arial" w:hAnsi="Arial" w:cs="Arial"/>
          <w:lang w:val="en-GB"/>
        </w:rPr>
        <w:t xml:space="preserve"> and gas (H</w:t>
      </w:r>
      <w:r w:rsidRPr="0030725E">
        <w:rPr>
          <w:rFonts w:ascii="Arial" w:hAnsi="Arial" w:cs="Arial"/>
          <w:vertAlign w:val="subscript"/>
          <w:lang w:val="en-GB"/>
        </w:rPr>
        <w:t>2</w:t>
      </w:r>
      <w:r w:rsidRPr="0030725E">
        <w:rPr>
          <w:rFonts w:ascii="Arial" w:hAnsi="Arial" w:cs="Arial"/>
          <w:lang w:val="en-GB"/>
        </w:rPr>
        <w:t xml:space="preserve"> and CO</w:t>
      </w:r>
      <w:r w:rsidRPr="0030725E">
        <w:rPr>
          <w:rFonts w:ascii="Arial" w:hAnsi="Arial" w:cs="Arial"/>
          <w:vertAlign w:val="subscript"/>
          <w:lang w:val="en-GB"/>
        </w:rPr>
        <w:t>2</w:t>
      </w:r>
      <w:r w:rsidRPr="0030725E">
        <w:rPr>
          <w:rFonts w:ascii="Arial" w:hAnsi="Arial" w:cs="Arial"/>
          <w:lang w:val="en-GB"/>
        </w:rPr>
        <w:t>) storage materials will be discussed.</w:t>
      </w:r>
    </w:p>
    <w:p w14:paraId="3578EC10" w14:textId="7B04FF9F" w:rsidR="00D90834" w:rsidRDefault="00D90834" w:rsidP="00825E00">
      <w:pPr>
        <w:rPr>
          <w:rFonts w:ascii="Arial" w:hAnsi="Arial" w:cs="Arial"/>
          <w:lang w:val="en-GB"/>
        </w:rPr>
      </w:pPr>
    </w:p>
    <w:p w14:paraId="3E53F777" w14:textId="77777777" w:rsidR="00D90834" w:rsidRPr="00D90834" w:rsidRDefault="00D90834" w:rsidP="00D90834">
      <w:pPr>
        <w:rPr>
          <w:rFonts w:ascii="Arial" w:hAnsi="Arial" w:cs="Arial"/>
          <w:b/>
          <w:bCs/>
          <w:lang w:val="en-GB"/>
        </w:rPr>
      </w:pPr>
      <w:r w:rsidRPr="00D90834">
        <w:rPr>
          <w:rFonts w:ascii="Arial" w:hAnsi="Arial" w:cs="Arial"/>
          <w:b/>
          <w:bCs/>
          <w:lang w:val="en-GB"/>
        </w:rPr>
        <w:t>References</w:t>
      </w:r>
    </w:p>
    <w:p w14:paraId="71E1FC1F" w14:textId="3C37623B" w:rsidR="005F6745" w:rsidRPr="00875BE5" w:rsidRDefault="005F6745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0" w:name="_ENREF_1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E.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Thomou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V.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Sakavitsi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G. 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Angeli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et al. </w:t>
      </w:r>
      <w:r w:rsidRPr="00875BE5">
        <w:rPr>
          <w:rFonts w:ascii="Arial" w:hAnsi="Arial" w:cs="Arial"/>
          <w:bCs/>
          <w:i/>
          <w:iCs/>
          <w:sz w:val="20"/>
          <w:szCs w:val="20"/>
          <w:lang w:val="en-US"/>
        </w:rPr>
        <w:t>RSC Advances,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/>
          <w:sz w:val="20"/>
          <w:szCs w:val="20"/>
          <w:lang w:val="en-US"/>
        </w:rPr>
        <w:t>2021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11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13743</w:t>
      </w:r>
    </w:p>
    <w:p w14:paraId="36496A85" w14:textId="761C75CB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Spyrou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L. Kang, E.K.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Diamanti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>Carbon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2013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61</w:t>
      </w:r>
      <w:r w:rsidR="00F155AC">
        <w:rPr>
          <w:rFonts w:ascii="Arial" w:hAnsi="Arial" w:cs="Arial"/>
          <w:bCs/>
          <w:sz w:val="20"/>
          <w:szCs w:val="20"/>
          <w:lang w:val="en-US"/>
        </w:rPr>
        <w:t>,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313.</w:t>
      </w:r>
      <w:bookmarkEnd w:id="0"/>
    </w:p>
    <w:p w14:paraId="39884570" w14:textId="4E191EA4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1" w:name="_ENREF_2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T.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Tsoufis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G.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Tuci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S.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Caporali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>Carbon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2013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59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100.</w:t>
      </w:r>
      <w:bookmarkEnd w:id="1"/>
    </w:p>
    <w:p w14:paraId="3BDC9A5A" w14:textId="31A1931F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2" w:name="_ENREF_3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Spyrou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G.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Potsi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E.K.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Diamanti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 xml:space="preserve">Adv. </w:t>
      </w:r>
      <w:proofErr w:type="spellStart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Funct</w:t>
      </w:r>
      <w:proofErr w:type="spellEnd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. Mater.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2014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24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5841.</w:t>
      </w:r>
      <w:bookmarkEnd w:id="2"/>
    </w:p>
    <w:p w14:paraId="191A3F2C" w14:textId="007B9764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3" w:name="_ENREF_4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Spyrou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M.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Calvaresi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E.A.K.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Diamanti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 xml:space="preserve">Adv. </w:t>
      </w:r>
      <w:proofErr w:type="spellStart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Funct</w:t>
      </w:r>
      <w:proofErr w:type="spellEnd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. Mater.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2015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25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263.</w:t>
      </w:r>
      <w:bookmarkEnd w:id="3"/>
    </w:p>
    <w:p w14:paraId="1EF6319C" w14:textId="096416CE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4" w:name="_ENREF_5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T.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Tsoufis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Z.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Syrgiannis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N. Akhtar,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>Nanoscale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2015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7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8995.</w:t>
      </w:r>
      <w:bookmarkEnd w:id="4"/>
    </w:p>
    <w:p w14:paraId="65D9F11B" w14:textId="5398B48C" w:rsidR="00D90834" w:rsidRPr="00875BE5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5" w:name="_ENREF_6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V.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Georgakilas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A.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Demeslis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Ntararas</w:t>
      </w:r>
      <w:proofErr w:type="spellEnd"/>
      <w:r w:rsidR="00875BE5" w:rsidRPr="00875BE5">
        <w:rPr>
          <w:rFonts w:ascii="Arial" w:hAnsi="Arial" w:cs="Arial"/>
          <w:bCs/>
          <w:sz w:val="20"/>
          <w:szCs w:val="20"/>
          <w:lang w:val="en-US"/>
        </w:rPr>
        <w:t xml:space="preserve"> 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 xml:space="preserve">Adv. </w:t>
      </w:r>
      <w:proofErr w:type="spellStart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Funct</w:t>
      </w:r>
      <w:proofErr w:type="spellEnd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. Mater.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2015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25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1481.</w:t>
      </w:r>
      <w:bookmarkEnd w:id="5"/>
    </w:p>
    <w:p w14:paraId="750384ED" w14:textId="5EC45C04" w:rsidR="00D90834" w:rsidRDefault="00D90834" w:rsidP="00875BE5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bookmarkStart w:id="6" w:name="_ENREF_7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A.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Kouloumpis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Spyrou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K.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Dimos</w:t>
      </w:r>
      <w:proofErr w:type="spellEnd"/>
      <w:r w:rsidR="00875BE5" w:rsidRPr="00875BE5">
        <w:rPr>
          <w:rFonts w:ascii="Arial" w:hAnsi="Arial" w:cs="Arial"/>
          <w:bCs/>
          <w:sz w:val="20"/>
          <w:szCs w:val="20"/>
          <w:lang w:val="en-US"/>
        </w:rPr>
        <w:t xml:space="preserve"> et al.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>Front</w:t>
      </w:r>
      <w:r w:rsidR="00606F88">
        <w:rPr>
          <w:rFonts w:ascii="Arial" w:hAnsi="Arial" w:cs="Arial"/>
          <w:bCs/>
          <w:i/>
          <w:sz w:val="20"/>
          <w:szCs w:val="20"/>
          <w:lang w:val="en-US"/>
        </w:rPr>
        <w:t>.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 xml:space="preserve"> Mater</w:t>
      </w:r>
      <w:r w:rsidR="00606F88">
        <w:rPr>
          <w:rFonts w:ascii="Arial" w:hAnsi="Arial" w:cs="Arial"/>
          <w:bCs/>
          <w:i/>
          <w:sz w:val="20"/>
          <w:szCs w:val="20"/>
          <w:lang w:val="en-US"/>
        </w:rPr>
        <w:t>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875BE5">
        <w:rPr>
          <w:rFonts w:ascii="Arial" w:hAnsi="Arial" w:cs="Arial"/>
          <w:b/>
          <w:bCs/>
          <w:sz w:val="20"/>
          <w:szCs w:val="20"/>
          <w:lang w:val="en-US"/>
        </w:rPr>
        <w:t>2015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2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a</w:t>
      </w:r>
      <w:r w:rsidRPr="00875BE5">
        <w:rPr>
          <w:rFonts w:ascii="Arial" w:hAnsi="Arial" w:cs="Arial"/>
          <w:bCs/>
          <w:sz w:val="20"/>
          <w:szCs w:val="20"/>
          <w:lang w:val="en-US"/>
        </w:rPr>
        <w:t>rt</w:t>
      </w:r>
      <w:r w:rsidR="00875BE5" w:rsidRPr="00875BE5">
        <w:rPr>
          <w:rFonts w:ascii="Arial" w:hAnsi="Arial" w:cs="Arial"/>
          <w:bCs/>
          <w:sz w:val="20"/>
          <w:szCs w:val="20"/>
          <w:lang w:val="en-US"/>
        </w:rPr>
        <w:t>.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10.</w:t>
      </w:r>
      <w:bookmarkEnd w:id="6"/>
    </w:p>
    <w:p w14:paraId="2E0AE596" w14:textId="64CBB646" w:rsidR="00606F88" w:rsidRPr="00CD2E98" w:rsidRDefault="00606F88" w:rsidP="00AF217C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N. </w:t>
      </w:r>
      <w:proofErr w:type="spellStart"/>
      <w:r w:rsidRPr="00930FAE">
        <w:rPr>
          <w:rFonts w:ascii="Arial" w:hAnsi="Arial" w:cs="Arial"/>
          <w:bCs/>
          <w:sz w:val="20"/>
          <w:szCs w:val="20"/>
          <w:lang w:val="en-US"/>
        </w:rPr>
        <w:t>Chalmpes</w:t>
      </w:r>
      <w:proofErr w:type="spellEnd"/>
      <w:r w:rsidRPr="00930FAE">
        <w:rPr>
          <w:rFonts w:ascii="Arial" w:hAnsi="Arial" w:cs="Arial"/>
          <w:bCs/>
          <w:sz w:val="20"/>
          <w:szCs w:val="20"/>
          <w:vertAlign w:val="superscript"/>
          <w:lang w:val="en-US"/>
        </w:rPr>
        <w:t>,</w:t>
      </w:r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 M. </w:t>
      </w:r>
      <w:proofErr w:type="spellStart"/>
      <w:r w:rsidRPr="00930FAE">
        <w:rPr>
          <w:rFonts w:ascii="Arial" w:hAnsi="Arial" w:cs="Arial"/>
          <w:bCs/>
          <w:sz w:val="20"/>
          <w:szCs w:val="20"/>
          <w:lang w:val="en-US"/>
        </w:rPr>
        <w:t>Patila</w:t>
      </w:r>
      <w:proofErr w:type="spellEnd"/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, A. </w:t>
      </w:r>
      <w:proofErr w:type="spellStart"/>
      <w:r w:rsidRPr="00930FAE">
        <w:rPr>
          <w:rFonts w:ascii="Arial" w:hAnsi="Arial" w:cs="Arial"/>
          <w:bCs/>
          <w:sz w:val="20"/>
          <w:szCs w:val="20"/>
          <w:lang w:val="en-US"/>
        </w:rPr>
        <w:t>Kouloumpis</w:t>
      </w:r>
      <w:proofErr w:type="spellEnd"/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 et al. </w:t>
      </w:r>
      <w:r w:rsidRPr="00930FAE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ACS Appl. Mater. </w:t>
      </w:r>
      <w:proofErr w:type="spellStart"/>
      <w:r w:rsidRPr="00930FAE">
        <w:rPr>
          <w:rFonts w:ascii="Arial" w:hAnsi="Arial" w:cs="Arial"/>
          <w:bCs/>
          <w:i/>
          <w:iCs/>
          <w:sz w:val="20"/>
          <w:szCs w:val="20"/>
          <w:lang w:val="en-US"/>
        </w:rPr>
        <w:t>Interfac</w:t>
      </w:r>
      <w:proofErr w:type="spellEnd"/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930FAE">
        <w:rPr>
          <w:rFonts w:ascii="Arial" w:hAnsi="Arial" w:cs="Arial"/>
          <w:b/>
          <w:sz w:val="20"/>
          <w:szCs w:val="20"/>
          <w:lang w:val="en-US"/>
        </w:rPr>
        <w:t>2022</w:t>
      </w:r>
      <w:r w:rsidRPr="00930FAE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F155AC" w:rsidRPr="00F155AC">
        <w:rPr>
          <w:rFonts w:ascii="Arial" w:hAnsi="Arial" w:cs="Arial"/>
          <w:bCs/>
          <w:i/>
          <w:iCs/>
          <w:sz w:val="20"/>
          <w:szCs w:val="20"/>
        </w:rPr>
        <w:t>14</w:t>
      </w:r>
      <w:r w:rsidR="00F155AC" w:rsidRPr="00F155AC">
        <w:rPr>
          <w:rFonts w:ascii="Arial" w:hAnsi="Arial" w:cs="Arial"/>
          <w:bCs/>
          <w:sz w:val="20"/>
          <w:szCs w:val="20"/>
        </w:rPr>
        <w:t>, 26204</w:t>
      </w:r>
      <w:r w:rsidR="00F155AC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0D79978A" w14:textId="33C04009" w:rsidR="00CD2E98" w:rsidRPr="00875BE5" w:rsidRDefault="00CD2E98" w:rsidP="00CD2E98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T.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Giousis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G.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Potsi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A.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Kouloumpis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gramStart"/>
      <w:r w:rsidRPr="00875BE5">
        <w:rPr>
          <w:rFonts w:ascii="Arial" w:hAnsi="Arial" w:cs="Arial"/>
          <w:bCs/>
          <w:sz w:val="20"/>
          <w:szCs w:val="20"/>
          <w:lang w:val="en-US"/>
        </w:rPr>
        <w:t>et al..</w:t>
      </w:r>
      <w:proofErr w:type="gram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Angew</w:t>
      </w:r>
      <w:proofErr w:type="spellEnd"/>
      <w:r w:rsidRPr="00875BE5">
        <w:rPr>
          <w:rFonts w:ascii="Arial" w:hAnsi="Arial" w:cs="Arial"/>
          <w:bCs/>
          <w:i/>
          <w:sz w:val="20"/>
          <w:szCs w:val="20"/>
          <w:lang w:val="en-US"/>
        </w:rPr>
        <w:t>. Chem.- Inter. Ed.,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/>
          <w:sz w:val="20"/>
          <w:szCs w:val="20"/>
          <w:lang w:val="en-US"/>
        </w:rPr>
        <w:t>2021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60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360.</w:t>
      </w:r>
    </w:p>
    <w:p w14:paraId="0CB746F4" w14:textId="7165617F" w:rsidR="00CD2E98" w:rsidRPr="00875BE5" w:rsidRDefault="00CD2E98" w:rsidP="00CD2E98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Q. Chen, L. Liang, G.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Potsi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et al. </w:t>
      </w:r>
      <w:r w:rsidRPr="00875BE5">
        <w:rPr>
          <w:rFonts w:ascii="Arial" w:hAnsi="Arial" w:cs="Arial"/>
          <w:bCs/>
          <w:i/>
          <w:sz w:val="20"/>
          <w:szCs w:val="20"/>
          <w:lang w:val="en-US"/>
        </w:rPr>
        <w:t>Nano Letters,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/>
          <w:sz w:val="20"/>
          <w:szCs w:val="20"/>
          <w:lang w:val="en-US"/>
        </w:rPr>
        <w:t>2019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19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1520.</w:t>
      </w:r>
    </w:p>
    <w:p w14:paraId="6E29AC7F" w14:textId="595A493C" w:rsidR="00CD2E98" w:rsidRPr="00875BE5" w:rsidRDefault="00CD2E98" w:rsidP="00CD2E98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A.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Kouloumpis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A. V.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Chatzikonstantinou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N. </w:t>
      </w:r>
      <w:proofErr w:type="spellStart"/>
      <w:r w:rsidRPr="00875BE5">
        <w:rPr>
          <w:rFonts w:ascii="Arial" w:hAnsi="Arial" w:cs="Arial"/>
          <w:bCs/>
          <w:sz w:val="20"/>
          <w:szCs w:val="20"/>
          <w:lang w:val="en-US"/>
        </w:rPr>
        <w:t>Chalmpes</w:t>
      </w:r>
      <w:proofErr w:type="spellEnd"/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et al. </w:t>
      </w:r>
      <w:r w:rsidRPr="00875BE5">
        <w:rPr>
          <w:rFonts w:ascii="Arial" w:hAnsi="Arial" w:cs="Arial"/>
          <w:bCs/>
          <w:i/>
          <w:iCs/>
          <w:sz w:val="20"/>
          <w:szCs w:val="20"/>
          <w:lang w:val="en-US"/>
        </w:rPr>
        <w:t>ACS Appl. Nano Mater.,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75BE5">
        <w:rPr>
          <w:rFonts w:ascii="Arial" w:hAnsi="Arial" w:cs="Arial"/>
          <w:b/>
          <w:sz w:val="20"/>
          <w:szCs w:val="20"/>
          <w:lang w:val="en-US"/>
        </w:rPr>
        <w:t>2021</w:t>
      </w:r>
      <w:r w:rsidRPr="00875BE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4</w:t>
      </w:r>
      <w:r w:rsidRPr="00875BE5">
        <w:rPr>
          <w:rFonts w:ascii="Arial" w:hAnsi="Arial" w:cs="Arial"/>
          <w:bCs/>
          <w:sz w:val="20"/>
          <w:szCs w:val="20"/>
          <w:lang w:val="en-US"/>
        </w:rPr>
        <w:t>, 2333</w:t>
      </w:r>
    </w:p>
    <w:p w14:paraId="3EBDABEE" w14:textId="5D55FF87" w:rsidR="00CD2E98" w:rsidRPr="00CD2E98" w:rsidRDefault="00CD2E98" w:rsidP="00EF747D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B. N. </w:t>
      </w:r>
      <w:proofErr w:type="spellStart"/>
      <w:r w:rsidRPr="00CD2E98">
        <w:rPr>
          <w:rFonts w:ascii="Arial" w:hAnsi="Arial" w:cs="Arial"/>
          <w:bCs/>
          <w:sz w:val="20"/>
          <w:szCs w:val="20"/>
          <w:lang w:val="en-US"/>
        </w:rPr>
        <w:t>Madhushankar</w:t>
      </w:r>
      <w:proofErr w:type="spellEnd"/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, A. </w:t>
      </w:r>
      <w:proofErr w:type="spellStart"/>
      <w:r w:rsidRPr="00CD2E98">
        <w:rPr>
          <w:rFonts w:ascii="Arial" w:hAnsi="Arial" w:cs="Arial"/>
          <w:bCs/>
          <w:sz w:val="20"/>
          <w:szCs w:val="20"/>
          <w:lang w:val="en-US"/>
        </w:rPr>
        <w:t>Kaverzin</w:t>
      </w:r>
      <w:proofErr w:type="spellEnd"/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, T. </w:t>
      </w:r>
      <w:proofErr w:type="spellStart"/>
      <w:r w:rsidRPr="00CD2E98">
        <w:rPr>
          <w:rFonts w:ascii="Arial" w:hAnsi="Arial" w:cs="Arial"/>
          <w:bCs/>
          <w:sz w:val="20"/>
          <w:szCs w:val="20"/>
          <w:lang w:val="en-US"/>
        </w:rPr>
        <w:t>Giousis</w:t>
      </w:r>
      <w:proofErr w:type="spellEnd"/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, et al. </w:t>
      </w:r>
      <w:r w:rsidRPr="00CD2E98">
        <w:rPr>
          <w:rFonts w:ascii="Arial" w:hAnsi="Arial" w:cs="Arial"/>
          <w:bCs/>
          <w:i/>
          <w:sz w:val="20"/>
          <w:szCs w:val="20"/>
          <w:lang w:val="en-US"/>
        </w:rPr>
        <w:t>2D Materials</w:t>
      </w:r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CD2E98">
        <w:rPr>
          <w:rFonts w:ascii="Arial" w:hAnsi="Arial" w:cs="Arial"/>
          <w:b/>
          <w:sz w:val="20"/>
          <w:szCs w:val="20"/>
          <w:lang w:val="en-US"/>
        </w:rPr>
        <w:t>2017,</w:t>
      </w:r>
      <w:r w:rsidRPr="00CD2E9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155AC">
        <w:rPr>
          <w:rFonts w:ascii="Arial" w:hAnsi="Arial" w:cs="Arial"/>
          <w:bCs/>
          <w:i/>
          <w:iCs/>
          <w:sz w:val="20"/>
          <w:szCs w:val="20"/>
          <w:lang w:val="en-US"/>
        </w:rPr>
        <w:t>4</w:t>
      </w:r>
      <w:r w:rsidRPr="00CD2E98">
        <w:rPr>
          <w:rFonts w:ascii="Arial" w:hAnsi="Arial" w:cs="Arial"/>
          <w:bCs/>
          <w:sz w:val="20"/>
          <w:szCs w:val="20"/>
          <w:lang w:val="en-US"/>
        </w:rPr>
        <w:t>, 021009</w:t>
      </w:r>
    </w:p>
    <w:p w14:paraId="2EBFA970" w14:textId="09D3E942" w:rsidR="00875BE5" w:rsidRDefault="00875BE5" w:rsidP="00D90834">
      <w:pPr>
        <w:rPr>
          <w:rFonts w:ascii="Arial" w:hAnsi="Arial" w:cs="Arial"/>
          <w:bCs/>
          <w:lang w:val="en-US"/>
        </w:rPr>
      </w:pPr>
    </w:p>
    <w:p w14:paraId="3112D2D7" w14:textId="7C75547E" w:rsidR="00A6011E" w:rsidRPr="00D90834" w:rsidRDefault="00A6011E" w:rsidP="009F76AB">
      <w:pPr>
        <w:jc w:val="both"/>
        <w:rPr>
          <w:rFonts w:ascii="Arial" w:hAnsi="Arial" w:cs="Arial"/>
          <w:bCs/>
          <w:lang w:val="en-US"/>
        </w:rPr>
      </w:pPr>
      <w:r w:rsidRPr="00A6011E">
        <w:rPr>
          <w:rFonts w:ascii="Arial" w:hAnsi="Arial" w:cs="Arial"/>
          <w:b/>
          <w:i/>
          <w:iCs/>
          <w:sz w:val="20"/>
          <w:szCs w:val="20"/>
          <w:lang w:val="en-US"/>
        </w:rPr>
        <w:t>Acknowledgment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s</w:t>
      </w:r>
      <w:r w:rsidRPr="00A6011E">
        <w:rPr>
          <w:rFonts w:ascii="Arial" w:hAnsi="Arial" w:cs="Arial"/>
          <w:bCs/>
          <w:sz w:val="20"/>
          <w:szCs w:val="20"/>
          <w:lang w:val="en-US"/>
        </w:rPr>
        <w:t xml:space="preserve">. This research has been co-financed by the European Regional Development Fund of the European Union and Greek national funds through the Operational Program Competitiveness, </w:t>
      </w:r>
      <w:proofErr w:type="gramStart"/>
      <w:r w:rsidRPr="00A6011E">
        <w:rPr>
          <w:rFonts w:ascii="Arial" w:hAnsi="Arial" w:cs="Arial"/>
          <w:bCs/>
          <w:sz w:val="20"/>
          <w:szCs w:val="20"/>
          <w:lang w:val="en-US"/>
        </w:rPr>
        <w:t>Entrepreneurship</w:t>
      </w:r>
      <w:proofErr w:type="gramEnd"/>
      <w:r w:rsidRPr="00A6011E">
        <w:rPr>
          <w:rFonts w:ascii="Arial" w:hAnsi="Arial" w:cs="Arial"/>
          <w:bCs/>
          <w:sz w:val="20"/>
          <w:szCs w:val="20"/>
          <w:lang w:val="en-US"/>
        </w:rPr>
        <w:t xml:space="preserve"> and Innovation, under the call RESEARCH—CREATE—INNOVATE (project code</w:t>
      </w:r>
      <w:r w:rsidR="009F76AB">
        <w:rPr>
          <w:rFonts w:ascii="Arial" w:hAnsi="Arial" w:cs="Arial"/>
          <w:bCs/>
          <w:sz w:val="20"/>
          <w:szCs w:val="20"/>
          <w:lang w:val="en-US"/>
        </w:rPr>
        <w:t>s</w:t>
      </w:r>
      <w:r w:rsidRPr="00A6011E">
        <w:rPr>
          <w:rFonts w:ascii="Arial" w:hAnsi="Arial" w:cs="Arial"/>
          <w:bCs/>
          <w:sz w:val="20"/>
          <w:szCs w:val="20"/>
          <w:lang w:val="en-US"/>
        </w:rPr>
        <w:t>: Τ2ΕDΚ-00955</w:t>
      </w:r>
      <w:r w:rsidR="009F76AB">
        <w:rPr>
          <w:rFonts w:ascii="Arial" w:hAnsi="Arial" w:cs="Arial"/>
          <w:bCs/>
          <w:sz w:val="20"/>
          <w:szCs w:val="20"/>
          <w:lang w:val="en-US"/>
        </w:rPr>
        <w:t xml:space="preserve"> and </w:t>
      </w:r>
      <w:r w:rsidR="009F76AB" w:rsidRPr="009F76AB">
        <w:rPr>
          <w:rFonts w:ascii="Arial" w:hAnsi="Arial" w:cs="Arial"/>
          <w:bCs/>
          <w:sz w:val="20"/>
          <w:szCs w:val="20"/>
          <w:lang w:val="en-US"/>
        </w:rPr>
        <w:t>Τ1Ε</w:t>
      </w:r>
      <w:r w:rsidR="009F76AB">
        <w:rPr>
          <w:rFonts w:ascii="Arial" w:hAnsi="Arial" w:cs="Arial"/>
          <w:bCs/>
          <w:sz w:val="20"/>
          <w:szCs w:val="20"/>
          <w:lang w:val="en-US"/>
        </w:rPr>
        <w:t>D</w:t>
      </w:r>
      <w:r w:rsidR="009F76AB" w:rsidRPr="009F76AB">
        <w:rPr>
          <w:rFonts w:ascii="Arial" w:hAnsi="Arial" w:cs="Arial"/>
          <w:bCs/>
          <w:sz w:val="20"/>
          <w:szCs w:val="20"/>
          <w:lang w:val="en-US"/>
        </w:rPr>
        <w:t>Κ-00782</w:t>
      </w:r>
      <w:r w:rsidRPr="00A6011E">
        <w:rPr>
          <w:rFonts w:ascii="Arial" w:hAnsi="Arial" w:cs="Arial"/>
          <w:bCs/>
          <w:sz w:val="20"/>
          <w:szCs w:val="20"/>
          <w:lang w:val="en-US"/>
        </w:rPr>
        <w:t>).</w:t>
      </w:r>
    </w:p>
    <w:sectPr w:rsidR="00A6011E" w:rsidRPr="00D90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C1"/>
    <w:multiLevelType w:val="hybridMultilevel"/>
    <w:tmpl w:val="4B92A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0"/>
    <w:rsid w:val="0019206B"/>
    <w:rsid w:val="003377B1"/>
    <w:rsid w:val="003670A9"/>
    <w:rsid w:val="0040448A"/>
    <w:rsid w:val="005F6745"/>
    <w:rsid w:val="00606F88"/>
    <w:rsid w:val="00776E46"/>
    <w:rsid w:val="00825E00"/>
    <w:rsid w:val="00875BE5"/>
    <w:rsid w:val="00930FAE"/>
    <w:rsid w:val="009F76AB"/>
    <w:rsid w:val="00A6011E"/>
    <w:rsid w:val="00B82DA9"/>
    <w:rsid w:val="00CD2E98"/>
    <w:rsid w:val="00D90834"/>
    <w:rsid w:val="00F155AC"/>
    <w:rsid w:val="00F32610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AFE7"/>
  <w15:chartTrackingRefBased/>
  <w15:docId w15:val="{884A33FC-8ACD-4ADF-AADC-C3647EE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E5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930F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30F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Gournis</dc:creator>
  <cp:keywords/>
  <dc:description/>
  <cp:lastModifiedBy>Dimitrios Gournis</cp:lastModifiedBy>
  <cp:revision>3</cp:revision>
  <dcterms:created xsi:type="dcterms:W3CDTF">2022-09-12T11:40:00Z</dcterms:created>
  <dcterms:modified xsi:type="dcterms:W3CDTF">2022-09-12T11:49:00Z</dcterms:modified>
</cp:coreProperties>
</file>